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428" w14:textId="5F02C0A5" w:rsidR="003C23BC" w:rsidRPr="003C23BC" w:rsidRDefault="003C23BC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317"/>
        <w:gridCol w:w="2250"/>
        <w:gridCol w:w="2200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449668E7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何西亞書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2C2DE2CF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3C23BC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Elective 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575E3673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0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976116789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50D6" w14:textId="24F69628" w:rsidR="00552F94" w:rsidRPr="00F31D52" w:rsidRDefault="003C23BC" w:rsidP="00F31D5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Pr="00F31D5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對書卷的信息有整體認識。對先知何西阿生平重要事蹟，有詳細的瞭解，並釋譯其中屬靈的教訓。</w:t>
            </w:r>
          </w:p>
          <w:p w14:paraId="11B5B414" w14:textId="4FDFDA2A" w:rsidR="003C23BC" w:rsidRPr="00552F94" w:rsidRDefault="003C23BC" w:rsidP="003C23B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180F858C" w:rsidR="003C23BC" w:rsidRPr="003C23BC" w:rsidRDefault="003C23BC" w:rsidP="003C23B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  <w:lang w:eastAsia="zh-CN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2911A9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認識神透過先知的婚姻關係、親子關係</w:t>
            </w:r>
            <w:r w:rsidR="00BC123E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，曉得</w:t>
            </w:r>
            <w:r w:rsidR="002911A9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與</w:t>
            </w:r>
            <w:r w:rsidR="00BC123E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神子民的關係。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8"/>
              <w:gridCol w:w="1101"/>
              <w:gridCol w:w="964"/>
              <w:gridCol w:w="1395"/>
              <w:gridCol w:w="599"/>
              <w:gridCol w:w="1119"/>
            </w:tblGrid>
            <w:tr w:rsidR="003C23BC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EC47F8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704DE03E" w:rsidR="00EC47F8" w:rsidRPr="003C23BC" w:rsidRDefault="00BC123E" w:rsidP="003C23BC">
                  <w:pPr>
                    <w:widowControl/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十二小先知書注釋（二）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4F26D9C3" w:rsidR="00EC47F8" w:rsidRPr="003C23BC" w:rsidRDefault="00BC123E" w:rsidP="00BC123E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唐佑之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3D7BB45F" w:rsidR="00EC47F8" w:rsidRPr="003C23BC" w:rsidRDefault="00BC123E" w:rsidP="003C23BC">
                  <w:pPr>
                    <w:widowControl/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1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984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C47F8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173EBEE2" w:rsidR="00EC47F8" w:rsidRPr="003C23BC" w:rsidRDefault="008A1882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何西亞書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5E142EE7" w:rsidR="00EC47F8" w:rsidRPr="003C23BC" w:rsidRDefault="008A1882" w:rsidP="008A1882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劉少平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7604F884" w:rsidR="00EC47F8" w:rsidRPr="003C23BC" w:rsidRDefault="008A1882" w:rsidP="003C23BC">
                  <w:pPr>
                    <w:widowControl/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2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1D3A46CB" w:rsidR="00EC47F8" w:rsidRPr="003C23BC" w:rsidRDefault="008A1882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23BC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7777777" w:rsid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1DC3BF69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熟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讀</w:t>
            </w:r>
            <w:r w:rsidR="004B055B">
              <w:rPr>
                <w:rFonts w:asciiTheme="minorEastAsia" w:hAnsiTheme="minorEastAsia" w:cs="新細明體" w:hint="eastAsia"/>
                <w:kern w:val="0"/>
                <w:sz w:val="22"/>
              </w:rPr>
              <w:t>何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西亞</w:t>
            </w:r>
            <w:r w:rsidR="004B055B">
              <w:rPr>
                <w:rFonts w:asciiTheme="minorEastAsia" w:hAnsiTheme="minorEastAsia" w:cs="新細明體" w:hint="eastAsia"/>
                <w:kern w:val="0"/>
                <w:sz w:val="22"/>
              </w:rPr>
              <w:t>書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兩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遍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以上。</w:t>
            </w:r>
          </w:p>
          <w:p w14:paraId="7C58C643" w14:textId="3507F190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一章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約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2</w:t>
            </w:r>
            <w:r w:rsidR="00DE5DE7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</w:t>
            </w:r>
            <w:r w:rsidR="00DE5DE7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</w:t>
            </w:r>
            <w:r w:rsidR="00944221">
              <w:rPr>
                <w:rFonts w:asciiTheme="minorEastAsia" w:hAnsiTheme="minorEastAsia" w:cs="Times" w:hint="eastAsia"/>
                <w:color w:val="000000"/>
                <w:kern w:val="0"/>
                <w:sz w:val="22"/>
                <w:lang w:eastAsia="zh-CN"/>
              </w:rPr>
              <w:t>左右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74BAF8D7" w14:textId="00B12226" w:rsidR="001A5F82" w:rsidRPr="004B055B" w:rsidRDefault="00DE5DE7" w:rsidP="004B055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學期末後一個月內交一篇研經報告碩士2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字以上；學士1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C7685D2" w14:textId="43E93DBA" w:rsidR="001F3E5B" w:rsidRPr="004B055B" w:rsidRDefault="001F3E5B" w:rsidP="001A5F82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060F32B4" w14:textId="77777777" w:rsidR="001F3E5B" w:rsidRPr="004B055B" w:rsidRDefault="001F3E5B" w:rsidP="003C23BC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22CA01E7" w14:textId="77777777" w:rsidR="001F3E5B" w:rsidRPr="004B055B" w:rsidRDefault="001F3E5B" w:rsidP="003C23BC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3533F8A6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918775A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9DA62B2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4B91106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45E3153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E453E53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3F29348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3450"/>
              <w:gridCol w:w="2667"/>
            </w:tblGrid>
            <w:tr w:rsidR="003C23BC" w:rsidRPr="003C23BC" w14:paraId="58911CAE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Hlk95378657"/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183886A4" w:rsidR="003C23BC" w:rsidRPr="003C23BC" w:rsidRDefault="001E59CC" w:rsidP="003C23BC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3/4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64322CCB" w:rsidR="003C23BC" w:rsidRPr="00BE1A77" w:rsidRDefault="00BE1A77" w:rsidP="003C23BC">
                  <w:pPr>
                    <w:widowControl/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你去娶淫婦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（淫亂）</w:t>
                  </w:r>
                  <w:r w:rsidR="00B214E1">
                    <w:rPr>
                      <w:rFonts w:ascii="Times" w:eastAsia="Apple LiSung" w:hAnsi="Times" w:cs="Times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01F34C24" w:rsidR="003C23BC" w:rsidRPr="003C23BC" w:rsidRDefault="00B214E1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第一章</w:t>
                  </w:r>
                </w:p>
              </w:tc>
            </w:tr>
            <w:bookmarkEnd w:id="0"/>
            <w:tr w:rsidR="00BE1A77" w:rsidRPr="003C23BC" w14:paraId="564529E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22D8272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4C4A2D44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以誠實聘你為妻（立約）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7D27E902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2B2BC3AF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400B64A2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/18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757D49A9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你再去愛淫婦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贖回</w:t>
                  </w:r>
                  <w:r w:rsidR="00A7201D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7C04698C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2E3CE2C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3F137EEE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/25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63D4E20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bookmarkStart w:id="1" w:name="OLE_LINK3"/>
                  <w:bookmarkStart w:id="2" w:name="OLE_LINK4"/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背約與無知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（倔強）</w:t>
                  </w:r>
                  <w:bookmarkEnd w:id="1"/>
                  <w:bookmarkEnd w:id="2"/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718A5B07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758DB70B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5ECC6053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097EC" w14:textId="1FE2155E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背約與無知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審判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3FA5E5B5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五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0C96B760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7E1D8D9D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/8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19AC4" w14:textId="03FDFE3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背約與無知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歡愛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4A4909D2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六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2D17D1B3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58686113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/15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64A65528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背約與無知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虛謊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3CB411E6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七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15128BB9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0FA1B914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/22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12C19" w14:textId="2CAAF3C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背約與無知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不認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1121782F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八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6EC01633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2FAB0F88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/29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ADFF" w14:textId="4413981B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</w:t>
                  </w:r>
                  <w:bookmarkStart w:id="3" w:name="OLE_LINK5"/>
                  <w:bookmarkStart w:id="4" w:name="OLE_LINK6"/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（責罰）</w:t>
                  </w:r>
                  <w:bookmarkEnd w:id="3"/>
                  <w:bookmarkEnd w:id="4"/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2793D4B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九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5D1907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2C00D623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/6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73DE" w14:textId="4642CB12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蒙羞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AC73ACD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E554B64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39E7FA71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/13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A7E5B" w14:textId="2C8F08C9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招呼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2B3185DE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一章</w:t>
                  </w:r>
                </w:p>
              </w:tc>
            </w:tr>
            <w:tr w:rsidR="00BE1A77" w:rsidRPr="003C23BC" w14:paraId="5427215E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15386FCA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/20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6406752D" w:rsidR="00BE1A77" w:rsidRPr="00203143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保存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678E6B5E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十二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05C36BA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3CDB161B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/28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734BEB9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死亡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1450100C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十三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3BFEBA4A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0E7A7C51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6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/3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7E479D5A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何西亞書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降罰與知道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醫治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2CD0042C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十四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45290D65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59601D3D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BE1A77" w:rsidRPr="003C23BC" w14:paraId="421002B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LiGothic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Apple LiSung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1A5F82"/>
    <w:rsid w:val="001E59CC"/>
    <w:rsid w:val="001F3E5B"/>
    <w:rsid w:val="00203143"/>
    <w:rsid w:val="002911A9"/>
    <w:rsid w:val="003C23BC"/>
    <w:rsid w:val="00404932"/>
    <w:rsid w:val="004B055B"/>
    <w:rsid w:val="004B6B58"/>
    <w:rsid w:val="00503335"/>
    <w:rsid w:val="00552F94"/>
    <w:rsid w:val="005855C6"/>
    <w:rsid w:val="00696B86"/>
    <w:rsid w:val="006E38A7"/>
    <w:rsid w:val="00704908"/>
    <w:rsid w:val="007A3A64"/>
    <w:rsid w:val="008A1882"/>
    <w:rsid w:val="00944221"/>
    <w:rsid w:val="00A7201D"/>
    <w:rsid w:val="00B214E1"/>
    <w:rsid w:val="00BC123E"/>
    <w:rsid w:val="00BE1A77"/>
    <w:rsid w:val="00BE1BA9"/>
    <w:rsid w:val="00DE5DE7"/>
    <w:rsid w:val="00DF5068"/>
    <w:rsid w:val="00EC47F8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Microsoft Office User</cp:lastModifiedBy>
  <cp:revision>3</cp:revision>
  <dcterms:created xsi:type="dcterms:W3CDTF">2022-02-10T02:19:00Z</dcterms:created>
  <dcterms:modified xsi:type="dcterms:W3CDTF">2022-02-10T02:21:00Z</dcterms:modified>
</cp:coreProperties>
</file>